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2BF" w:rsidRDefault="00DB62BF" w:rsidP="00DB62BF">
      <w:pPr>
        <w:widowControl/>
        <w:tabs>
          <w:tab w:val="left" w:pos="3300"/>
        </w:tabs>
        <w:autoSpaceDE/>
        <w:autoSpaceDN/>
        <w:spacing w:line="360" w:lineRule="atLeast"/>
        <w:jc w:val="right"/>
        <w:rPr>
          <w:rFonts w:ascii="Garamond" w:eastAsia="Calibri" w:hAnsi="Garamond" w:cs="Times New Roman"/>
          <w:b/>
          <w:bCs/>
          <w:color w:val="000000"/>
          <w:sz w:val="24"/>
          <w:szCs w:val="24"/>
        </w:rPr>
      </w:pPr>
      <w:r w:rsidRPr="002053EA">
        <w:rPr>
          <w:rFonts w:ascii="Garamond" w:eastAsia="Calibri" w:hAnsi="Garamond" w:cs="Times New Roman"/>
          <w:b/>
          <w:bCs/>
          <w:color w:val="000000"/>
          <w:sz w:val="24"/>
          <w:szCs w:val="24"/>
        </w:rPr>
        <w:t xml:space="preserve">ALLEGATO </w:t>
      </w:r>
      <w:r>
        <w:rPr>
          <w:rFonts w:ascii="Garamond" w:eastAsia="Calibri" w:hAnsi="Garamond" w:cs="Times New Roman"/>
          <w:b/>
          <w:bCs/>
          <w:color w:val="000000"/>
          <w:sz w:val="24"/>
          <w:szCs w:val="24"/>
        </w:rPr>
        <w:t>“</w:t>
      </w:r>
      <w:r w:rsidRPr="002053EA">
        <w:rPr>
          <w:rFonts w:ascii="Garamond" w:eastAsia="Calibri" w:hAnsi="Garamond" w:cs="Times New Roman"/>
          <w:b/>
          <w:bCs/>
          <w:color w:val="000000"/>
          <w:sz w:val="24"/>
          <w:szCs w:val="24"/>
        </w:rPr>
        <w:t>B</w:t>
      </w:r>
      <w:r>
        <w:rPr>
          <w:rFonts w:ascii="Garamond" w:eastAsia="Calibri" w:hAnsi="Garamond" w:cs="Times New Roman"/>
          <w:b/>
          <w:bCs/>
          <w:color w:val="000000"/>
          <w:sz w:val="24"/>
          <w:szCs w:val="24"/>
        </w:rPr>
        <w:t>”</w:t>
      </w:r>
    </w:p>
    <w:p w:rsidR="002852E1" w:rsidRPr="002B266E" w:rsidRDefault="002852E1" w:rsidP="00DB62BF">
      <w:pPr>
        <w:widowControl/>
        <w:tabs>
          <w:tab w:val="left" w:pos="3300"/>
        </w:tabs>
        <w:autoSpaceDE/>
        <w:autoSpaceDN/>
        <w:spacing w:line="360" w:lineRule="atLeast"/>
        <w:jc w:val="right"/>
        <w:rPr>
          <w:rFonts w:ascii="Garamond" w:eastAsia="Times New Roman" w:hAnsi="Garamond" w:cs="Times New Roman"/>
          <w:b/>
          <w:bCs/>
          <w:color w:val="000000"/>
          <w:sz w:val="24"/>
          <w:szCs w:val="23"/>
          <w:lang w:bidi="ar-SA"/>
        </w:rPr>
      </w:pPr>
    </w:p>
    <w:p w:rsidR="00DB62BF" w:rsidRDefault="00DB62BF" w:rsidP="00DB62BF">
      <w:pPr>
        <w:spacing w:after="3"/>
        <w:ind w:left="115"/>
        <w:jc w:val="center"/>
        <w:rPr>
          <w:rFonts w:ascii="Garamond" w:eastAsia="Calibri" w:hAnsi="Garamond" w:cs="Times New Roman"/>
          <w:b/>
          <w:bCs/>
          <w:color w:val="000000"/>
          <w:sz w:val="28"/>
          <w:szCs w:val="28"/>
        </w:rPr>
      </w:pPr>
      <w:r w:rsidRPr="002053EA">
        <w:rPr>
          <w:rFonts w:ascii="Garamond" w:eastAsia="Calibri" w:hAnsi="Garamond" w:cs="Times New Roman"/>
          <w:b/>
          <w:bCs/>
          <w:color w:val="000000"/>
          <w:sz w:val="28"/>
          <w:szCs w:val="28"/>
        </w:rPr>
        <w:t xml:space="preserve">DICHIARAZIONE SOSTITUTIVA SUL POSSESSO DEI REQUISITI </w:t>
      </w:r>
      <w:proofErr w:type="spellStart"/>
      <w:r w:rsidRPr="002053EA">
        <w:rPr>
          <w:rFonts w:ascii="Garamond" w:eastAsia="Calibri" w:hAnsi="Garamond" w:cs="Times New Roman"/>
          <w:b/>
          <w:bCs/>
          <w:color w:val="000000"/>
          <w:sz w:val="28"/>
          <w:szCs w:val="28"/>
        </w:rPr>
        <w:t>DI</w:t>
      </w:r>
      <w:proofErr w:type="spellEnd"/>
      <w:r w:rsidRPr="002053EA">
        <w:rPr>
          <w:rFonts w:ascii="Garamond" w:eastAsia="Calibri" w:hAnsi="Garamond" w:cs="Times New Roman"/>
          <w:b/>
          <w:bCs/>
          <w:color w:val="000000"/>
          <w:sz w:val="28"/>
          <w:szCs w:val="28"/>
        </w:rPr>
        <w:t xml:space="preserve"> ORDINE GENERALE</w:t>
      </w:r>
    </w:p>
    <w:p w:rsidR="00DB62BF" w:rsidRDefault="00DB62BF" w:rsidP="00DB62BF">
      <w:pPr>
        <w:spacing w:after="3"/>
        <w:ind w:left="115"/>
        <w:jc w:val="center"/>
        <w:rPr>
          <w:rFonts w:ascii="Garamond" w:eastAsia="Calibri" w:hAnsi="Garamond" w:cs="Times New Roman"/>
          <w:b/>
          <w:bCs/>
          <w:color w:val="000000"/>
          <w:sz w:val="28"/>
          <w:szCs w:val="28"/>
        </w:rPr>
      </w:pPr>
    </w:p>
    <w:p w:rsidR="00DB62BF" w:rsidRPr="00053471" w:rsidRDefault="00DB62BF" w:rsidP="00DB62BF">
      <w:pPr>
        <w:pStyle w:val="Corpodeltesto"/>
        <w:pBdr>
          <w:bottom w:val="single" w:sz="4" w:space="1" w:color="auto"/>
        </w:pBdr>
        <w:spacing w:before="90"/>
        <w:ind w:right="97"/>
        <w:jc w:val="center"/>
        <w:rPr>
          <w:rFonts w:ascii="Garamond" w:hAnsi="Garamond"/>
          <w:b/>
          <w:color w:val="244061" w:themeColor="accent1" w:themeShade="80"/>
          <w:sz w:val="22"/>
        </w:rPr>
      </w:pPr>
      <w:r w:rsidRPr="00053471">
        <w:rPr>
          <w:rFonts w:ascii="Garamond" w:hAnsi="Garamond"/>
          <w:b/>
          <w:color w:val="244061" w:themeColor="accent1" w:themeShade="80"/>
          <w:sz w:val="22"/>
        </w:rPr>
        <w:t xml:space="preserve">Programma </w:t>
      </w:r>
      <w:proofErr w:type="spellStart"/>
      <w:r w:rsidRPr="00053471">
        <w:rPr>
          <w:rFonts w:ascii="Garamond" w:hAnsi="Garamond"/>
          <w:b/>
          <w:color w:val="244061" w:themeColor="accent1" w:themeShade="80"/>
          <w:sz w:val="22"/>
        </w:rPr>
        <w:t>ERASMUS+</w:t>
      </w:r>
      <w:proofErr w:type="spellEnd"/>
      <w:r w:rsidRPr="00053471">
        <w:rPr>
          <w:rFonts w:ascii="Garamond" w:hAnsi="Garamond"/>
          <w:b/>
          <w:color w:val="244061" w:themeColor="accent1" w:themeShade="80"/>
          <w:sz w:val="22"/>
        </w:rPr>
        <w:t>: AZIONE KA1- MOBILITÀ DELLO STAFF DELLA SCUOLA</w:t>
      </w:r>
    </w:p>
    <w:p w:rsidR="00DB62BF" w:rsidRPr="008011FA" w:rsidRDefault="00DB62BF" w:rsidP="00DB62BF">
      <w:pPr>
        <w:pStyle w:val="Corpodeltesto"/>
        <w:spacing w:before="120" w:after="120"/>
        <w:ind w:right="97"/>
        <w:jc w:val="center"/>
        <w:rPr>
          <w:rFonts w:ascii="Garamond" w:hAnsi="Garamond"/>
          <w:iCs/>
          <w:sz w:val="22"/>
          <w:szCs w:val="22"/>
        </w:rPr>
      </w:pPr>
      <w:r w:rsidRPr="008011FA">
        <w:rPr>
          <w:rFonts w:ascii="Garamond" w:hAnsi="Garamond"/>
          <w:i/>
          <w:sz w:val="22"/>
          <w:szCs w:val="22"/>
        </w:rPr>
        <w:t xml:space="preserve">Titolo progetto </w:t>
      </w:r>
      <w:r w:rsidRPr="004F7E8F">
        <w:rPr>
          <w:rFonts w:ascii="Garamond" w:hAnsi="Garamond"/>
          <w:b/>
          <w:bCs/>
          <w:iCs/>
          <w:sz w:val="22"/>
          <w:szCs w:val="22"/>
        </w:rPr>
        <w:t>“Sulla</w:t>
      </w:r>
      <w:r w:rsidRPr="008011FA">
        <w:rPr>
          <w:rFonts w:ascii="Garamond" w:hAnsi="Garamond"/>
          <w:b/>
          <w:bCs/>
          <w:sz w:val="22"/>
          <w:szCs w:val="22"/>
        </w:rPr>
        <w:t xml:space="preserve"> rotta di Erasmo</w:t>
      </w:r>
      <w:r w:rsidRPr="004F7E8F">
        <w:rPr>
          <w:rFonts w:ascii="Garamond" w:hAnsi="Garamond"/>
          <w:b/>
          <w:bCs/>
          <w:iCs/>
          <w:sz w:val="22"/>
          <w:szCs w:val="22"/>
        </w:rPr>
        <w:t>”</w:t>
      </w:r>
    </w:p>
    <w:p w:rsidR="00DB62BF" w:rsidRPr="008011FA" w:rsidRDefault="00DB62BF" w:rsidP="00DB62BF">
      <w:pPr>
        <w:pStyle w:val="Corpodeltesto"/>
        <w:spacing w:before="120" w:after="120"/>
        <w:ind w:right="97"/>
        <w:jc w:val="center"/>
        <w:rPr>
          <w:rFonts w:ascii="Garamond" w:hAnsi="Garamond"/>
          <w:b/>
          <w:iCs/>
          <w:sz w:val="22"/>
          <w:szCs w:val="22"/>
        </w:rPr>
      </w:pPr>
      <w:r w:rsidRPr="008011FA">
        <w:rPr>
          <w:rFonts w:ascii="Garamond" w:hAnsi="Garamond"/>
          <w:i/>
          <w:iCs/>
          <w:sz w:val="22"/>
          <w:szCs w:val="22"/>
        </w:rPr>
        <w:t>Codice progetto</w:t>
      </w:r>
      <w:r w:rsidRPr="008011FA">
        <w:rPr>
          <w:rFonts w:ascii="Garamond" w:hAnsi="Garamond"/>
          <w:iCs/>
          <w:sz w:val="22"/>
          <w:szCs w:val="22"/>
        </w:rPr>
        <w:t xml:space="preserve"> </w:t>
      </w:r>
      <w:r w:rsidRPr="008011FA">
        <w:rPr>
          <w:rFonts w:ascii="Garamond" w:hAnsi="Garamond"/>
          <w:b/>
          <w:sz w:val="22"/>
          <w:szCs w:val="22"/>
        </w:rPr>
        <w:t>2020-1-IT02-KA101-077740</w:t>
      </w:r>
    </w:p>
    <w:p w:rsidR="00DB62BF" w:rsidRDefault="00587FB0" w:rsidP="00587FB0">
      <w:pPr>
        <w:tabs>
          <w:tab w:val="center" w:pos="4876"/>
          <w:tab w:val="left" w:pos="7137"/>
        </w:tabs>
        <w:spacing w:after="3"/>
        <w:ind w:left="115"/>
        <w:rPr>
          <w:rFonts w:ascii="Garamond" w:eastAsia="Calibri" w:hAnsi="Garamond" w:cs="Times New Roman"/>
          <w:b/>
          <w:bCs/>
          <w:color w:val="000000"/>
          <w:sz w:val="28"/>
          <w:szCs w:val="28"/>
        </w:rPr>
      </w:pPr>
      <w:r>
        <w:rPr>
          <w:rFonts w:ascii="Garamond" w:hAnsi="Garamond"/>
          <w:b/>
          <w:bCs/>
        </w:rPr>
        <w:tab/>
      </w:r>
      <w:r w:rsidR="00DB62BF" w:rsidRPr="008011FA">
        <w:rPr>
          <w:rFonts w:ascii="Garamond" w:hAnsi="Garamond"/>
          <w:b/>
          <w:bCs/>
        </w:rPr>
        <w:t xml:space="preserve">CUP: </w:t>
      </w:r>
      <w:r w:rsidR="00DB62BF" w:rsidRPr="008011FA">
        <w:rPr>
          <w:rFonts w:ascii="Garamond" w:hAnsi="Garamond"/>
          <w:b/>
          <w:bCs/>
          <w:spacing w:val="24"/>
        </w:rPr>
        <w:t>C99G20000360005</w:t>
      </w:r>
      <w:r>
        <w:rPr>
          <w:rFonts w:ascii="Garamond" w:hAnsi="Garamond"/>
          <w:b/>
          <w:bCs/>
          <w:spacing w:val="24"/>
        </w:rPr>
        <w:tab/>
      </w:r>
    </w:p>
    <w:p w:rsidR="00DB62BF" w:rsidRDefault="00DB62BF" w:rsidP="00DB62BF">
      <w:pPr>
        <w:tabs>
          <w:tab w:val="left" w:pos="1276"/>
        </w:tabs>
        <w:ind w:left="142" w:right="-18"/>
        <w:jc w:val="center"/>
        <w:rPr>
          <w:rFonts w:ascii="Garamond" w:hAnsi="Garamond"/>
          <w:sz w:val="24"/>
        </w:rPr>
      </w:pPr>
      <w:r w:rsidRPr="00D76ACF">
        <w:rPr>
          <w:rFonts w:ascii="Garamond" w:hAnsi="Garamond"/>
          <w:sz w:val="24"/>
        </w:rPr>
        <w:t xml:space="preserve">CIG: </w:t>
      </w:r>
      <w:r w:rsidRPr="004F7E8F">
        <w:rPr>
          <w:rFonts w:ascii="Garamond" w:hAnsi="Garamond"/>
          <w:b/>
          <w:bCs/>
          <w:spacing w:val="24"/>
          <w:sz w:val="24"/>
        </w:rPr>
        <w:t>Z5A36A4E22</w:t>
      </w:r>
    </w:p>
    <w:p w:rsidR="00DB62BF" w:rsidRPr="002B266E" w:rsidRDefault="00DB62BF" w:rsidP="00DB62BF">
      <w:pPr>
        <w:tabs>
          <w:tab w:val="left" w:pos="1276"/>
        </w:tabs>
        <w:ind w:left="142" w:right="-18"/>
        <w:jc w:val="center"/>
        <w:rPr>
          <w:rFonts w:ascii="Garamond" w:hAnsi="Garamond"/>
          <w:sz w:val="24"/>
        </w:rPr>
      </w:pPr>
    </w:p>
    <w:p w:rsidR="00DB62BF" w:rsidRPr="00233325" w:rsidRDefault="00DB62BF" w:rsidP="00DB62BF">
      <w:pPr>
        <w:spacing w:line="360" w:lineRule="auto"/>
        <w:ind w:left="113"/>
        <w:rPr>
          <w:rFonts w:ascii="Garamond" w:eastAsia="Calibri" w:hAnsi="Garamond" w:cs="Times New Roman"/>
          <w:color w:val="000000"/>
          <w:sz w:val="28"/>
          <w:szCs w:val="28"/>
          <w:u w:val="single"/>
        </w:rPr>
      </w:pPr>
      <w:r w:rsidRPr="00233325">
        <w:rPr>
          <w:rFonts w:ascii="Garamond" w:eastAsia="Calibri" w:hAnsi="Garamond" w:cs="Times New Roman"/>
          <w:color w:val="000000"/>
          <w:sz w:val="28"/>
          <w:szCs w:val="28"/>
        </w:rPr>
        <w:t xml:space="preserve">Il sottoscritto </w:t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</w:p>
    <w:p w:rsidR="00DB62BF" w:rsidRPr="00233325" w:rsidRDefault="00DB62BF" w:rsidP="00DB62BF">
      <w:pPr>
        <w:spacing w:line="360" w:lineRule="auto"/>
        <w:ind w:left="113"/>
        <w:jc w:val="both"/>
        <w:rPr>
          <w:rFonts w:ascii="Garamond" w:eastAsia="Calibri" w:hAnsi="Garamond" w:cs="Times New Roman"/>
          <w:color w:val="000000"/>
          <w:sz w:val="28"/>
          <w:szCs w:val="28"/>
          <w:u w:val="single"/>
        </w:rPr>
      </w:pPr>
      <w:r w:rsidRPr="00233325">
        <w:rPr>
          <w:rFonts w:ascii="Garamond" w:eastAsia="Calibri" w:hAnsi="Garamond" w:cs="Times New Roman"/>
          <w:color w:val="000000"/>
          <w:sz w:val="28"/>
          <w:szCs w:val="28"/>
        </w:rPr>
        <w:t xml:space="preserve">nato il </w:t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</w:rPr>
        <w:t>a</w:t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</w:p>
    <w:p w:rsidR="00DB62BF" w:rsidRPr="00233325" w:rsidRDefault="00DB62BF" w:rsidP="00DB62BF">
      <w:pPr>
        <w:spacing w:line="360" w:lineRule="auto"/>
        <w:ind w:left="113"/>
        <w:jc w:val="both"/>
        <w:rPr>
          <w:rFonts w:ascii="Garamond" w:eastAsia="Calibri" w:hAnsi="Garamond" w:cs="Times New Roman"/>
          <w:color w:val="000000"/>
          <w:sz w:val="28"/>
          <w:szCs w:val="28"/>
          <w:u w:val="single"/>
        </w:rPr>
      </w:pPr>
      <w:r w:rsidRPr="00233325">
        <w:rPr>
          <w:rFonts w:ascii="Garamond" w:eastAsia="Calibri" w:hAnsi="Garamond" w:cs="Times New Roman"/>
          <w:color w:val="000000"/>
          <w:sz w:val="28"/>
          <w:szCs w:val="28"/>
        </w:rPr>
        <w:t>Titolare/Ragione sociale</w:t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</w:rPr>
        <w:t>Cod. Fiscale</w:t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</w:p>
    <w:p w:rsidR="00DB62BF" w:rsidRPr="00233325" w:rsidRDefault="00DB62BF" w:rsidP="00DB62BF">
      <w:pPr>
        <w:spacing w:line="360" w:lineRule="auto"/>
        <w:ind w:left="113"/>
        <w:jc w:val="both"/>
        <w:rPr>
          <w:rFonts w:ascii="Garamond" w:eastAsia="Calibri" w:hAnsi="Garamond" w:cs="Times New Roman"/>
          <w:color w:val="000000"/>
          <w:sz w:val="28"/>
          <w:szCs w:val="28"/>
          <w:u w:val="single"/>
        </w:rPr>
      </w:pPr>
      <w:r w:rsidRPr="00233325">
        <w:rPr>
          <w:rFonts w:ascii="Garamond" w:eastAsia="Calibri" w:hAnsi="Garamond" w:cs="Times New Roman"/>
          <w:color w:val="000000"/>
          <w:sz w:val="28"/>
          <w:szCs w:val="28"/>
        </w:rPr>
        <w:t>Partita IVA</w:t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 w:rsidRPr="00233325"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  <w:r>
        <w:rPr>
          <w:rFonts w:ascii="Garamond" w:eastAsia="Calibri" w:hAnsi="Garamond" w:cs="Times New Roman"/>
          <w:color w:val="000000"/>
          <w:sz w:val="28"/>
          <w:szCs w:val="28"/>
          <w:u w:val="single"/>
        </w:rPr>
        <w:tab/>
      </w:r>
    </w:p>
    <w:p w:rsidR="00DB62BF" w:rsidRPr="00233325" w:rsidRDefault="00DB62BF" w:rsidP="00DB62BF">
      <w:pPr>
        <w:spacing w:after="5" w:line="249" w:lineRule="auto"/>
        <w:ind w:left="89" w:right="79" w:hanging="3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A corredo della istanza di partecipazione ed ai tini dell'ammissibilità alla gara in oggetto, ai sensi degli artt. 46 e 47 de! D.P. R. 445/2000, consapevole sanzione penale prevista dall'art. 76 del medesimo D.P.R. </w:t>
      </w:r>
      <w:r w:rsidRPr="00233325">
        <w:rPr>
          <w:rFonts w:ascii="Garamond" w:eastAsia="Calibri" w:hAnsi="Garamond" w:cs="Times New Roman"/>
          <w:noProof/>
          <w:color w:val="000000"/>
          <w:sz w:val="24"/>
          <w:szCs w:val="24"/>
          <w:lang w:bidi="ar-SA"/>
        </w:rPr>
        <w:drawing>
          <wp:inline distT="0" distB="0" distL="0" distR="0">
            <wp:extent cx="4572" cy="86864"/>
            <wp:effectExtent l="0" t="0" r="0" b="0"/>
            <wp:docPr id="11439" name="Picture 114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9" name="Picture 1143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86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per le ipotesi di falsità in atti e dichiarazioni mendaci ivi indicate memore </w:t>
      </w:r>
      <w:r w:rsidRPr="00233325">
        <w:rPr>
          <w:rFonts w:ascii="Garamond" w:eastAsia="Calibri" w:hAnsi="Garamond" w:cs="Times New Roman"/>
          <w:noProof/>
          <w:color w:val="000000"/>
          <w:sz w:val="24"/>
          <w:szCs w:val="24"/>
        </w:rPr>
        <w:t>delle sanzioni</w:t>
      </w: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 previste dall'art.89 </w:t>
      </w:r>
      <w:proofErr w:type="spellStart"/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>D.Lgs</w:t>
      </w:r>
      <w:proofErr w:type="spellEnd"/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 50/2016</w:t>
      </w:r>
    </w:p>
    <w:p w:rsidR="00DB62BF" w:rsidRPr="00DB62BF" w:rsidRDefault="00DB62BF" w:rsidP="00DB62BF">
      <w:pPr>
        <w:ind w:left="53" w:right="29" w:hanging="10"/>
        <w:jc w:val="center"/>
        <w:rPr>
          <w:rFonts w:ascii="Garamond" w:eastAsia="Calibri" w:hAnsi="Garamond" w:cs="Times New Roman"/>
          <w:b/>
          <w:color w:val="000000"/>
          <w:sz w:val="28"/>
          <w:szCs w:val="32"/>
        </w:rPr>
      </w:pPr>
      <w:r w:rsidRPr="00DB62BF">
        <w:rPr>
          <w:rFonts w:ascii="Garamond" w:eastAsia="Calibri" w:hAnsi="Garamond" w:cs="Times New Roman"/>
          <w:b/>
          <w:color w:val="000000"/>
          <w:sz w:val="28"/>
          <w:szCs w:val="32"/>
        </w:rPr>
        <w:t>DICHIARA</w:t>
      </w:r>
      <w:r w:rsidRPr="00DB62BF">
        <w:rPr>
          <w:rFonts w:ascii="Garamond" w:eastAsia="Calibri" w:hAnsi="Garamond" w:cs="Times New Roman"/>
          <w:b/>
          <w:noProof/>
          <w:color w:val="000000"/>
          <w:sz w:val="28"/>
          <w:szCs w:val="32"/>
          <w:lang w:bidi="ar-SA"/>
        </w:rPr>
        <w:drawing>
          <wp:inline distT="0" distB="0" distL="0" distR="0">
            <wp:extent cx="4572" cy="13715"/>
            <wp:effectExtent l="0" t="0" r="0" b="0"/>
            <wp:docPr id="11441" name="Picture 11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1" name="Picture 1144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2BF" w:rsidRPr="002B266E" w:rsidRDefault="00DB62BF" w:rsidP="00DB62BF">
      <w:pPr>
        <w:pStyle w:val="Corpodeltesto"/>
        <w:spacing w:before="120" w:after="120"/>
        <w:ind w:right="97"/>
        <w:jc w:val="both"/>
        <w:rPr>
          <w:rFonts w:ascii="Garamond" w:hAnsi="Garamond"/>
          <w:b/>
        </w:rPr>
      </w:pPr>
      <w:r w:rsidRPr="002B266E">
        <w:rPr>
          <w:rFonts w:ascii="Garamond" w:eastAsia="Calibri" w:hAnsi="Garamond" w:cs="Times New Roman"/>
          <w:color w:val="000000"/>
        </w:rPr>
        <w:t xml:space="preserve">di accettare senza riserve e condizioni quanto indicate nell’avviso pubblico per </w:t>
      </w:r>
      <w:r w:rsidRPr="002B266E">
        <w:rPr>
          <w:rFonts w:ascii="Garamond" w:hAnsi="Garamond"/>
        </w:rPr>
        <w:t xml:space="preserve">l’individuazione </w:t>
      </w:r>
      <w:bookmarkStart w:id="0" w:name="_Hlk83645055"/>
      <w:r w:rsidRPr="002B266E">
        <w:rPr>
          <w:rFonts w:ascii="Garamond" w:hAnsi="Garamond"/>
        </w:rPr>
        <w:t xml:space="preserve">di operatori economici da invitare per l’organizzazione dei viaggi all’estero per il progetto </w:t>
      </w:r>
      <w:proofErr w:type="spellStart"/>
      <w:r w:rsidRPr="002B266E">
        <w:rPr>
          <w:rFonts w:ascii="Garamond" w:hAnsi="Garamond"/>
        </w:rPr>
        <w:t>Erasmus+</w:t>
      </w:r>
      <w:proofErr w:type="spellEnd"/>
      <w:r w:rsidRPr="002B266E">
        <w:rPr>
          <w:rFonts w:ascii="Garamond" w:hAnsi="Garamond"/>
        </w:rPr>
        <w:t xml:space="preserve"> </w:t>
      </w:r>
      <w:bookmarkEnd w:id="0"/>
      <w:r w:rsidRPr="002B266E">
        <w:rPr>
          <w:rFonts w:ascii="Garamond" w:hAnsi="Garamond"/>
          <w:b/>
        </w:rPr>
        <w:t>“</w:t>
      </w:r>
      <w:r w:rsidRPr="002B266E">
        <w:rPr>
          <w:rFonts w:ascii="Garamond" w:hAnsi="Garamond"/>
          <w:b/>
          <w:bCs/>
          <w:iCs/>
        </w:rPr>
        <w:t>Sulla</w:t>
      </w:r>
      <w:r w:rsidRPr="002B266E">
        <w:rPr>
          <w:rFonts w:ascii="Garamond" w:hAnsi="Garamond"/>
          <w:b/>
          <w:bCs/>
        </w:rPr>
        <w:t xml:space="preserve"> rotta di Erasmo</w:t>
      </w:r>
      <w:r w:rsidRPr="002B266E">
        <w:rPr>
          <w:rFonts w:ascii="Garamond" w:hAnsi="Garamond"/>
          <w:b/>
          <w:bCs/>
          <w:iCs/>
        </w:rPr>
        <w:t xml:space="preserve">” - </w:t>
      </w:r>
      <w:r w:rsidRPr="002B266E">
        <w:rPr>
          <w:rFonts w:ascii="Garamond" w:hAnsi="Garamond"/>
          <w:iCs/>
        </w:rPr>
        <w:t xml:space="preserve">Codice progetto </w:t>
      </w:r>
      <w:r w:rsidRPr="002B266E">
        <w:rPr>
          <w:rFonts w:ascii="Garamond" w:hAnsi="Garamond"/>
          <w:b/>
        </w:rPr>
        <w:t>2020-1-IT02-KA101-077740</w:t>
      </w:r>
    </w:p>
    <w:p w:rsidR="00DB62BF" w:rsidRPr="002B266E" w:rsidRDefault="00DB62BF" w:rsidP="00DB62BF">
      <w:pPr>
        <w:widowControl/>
        <w:numPr>
          <w:ilvl w:val="0"/>
          <w:numId w:val="1"/>
        </w:numPr>
        <w:autoSpaceDE/>
        <w:autoSpaceDN/>
        <w:spacing w:after="5" w:line="249" w:lineRule="auto"/>
        <w:ind w:left="324"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B266E">
        <w:rPr>
          <w:rFonts w:ascii="Garamond" w:eastAsia="Calibri" w:hAnsi="Garamond" w:cs="Times New Roman"/>
          <w:color w:val="000000"/>
          <w:sz w:val="24"/>
          <w:szCs w:val="24"/>
        </w:rPr>
        <w:t xml:space="preserve">di non trovarsi in alcuna delle condizioni di esclusione dalla partecipazione alla gara di cui </w:t>
      </w:r>
      <w:r>
        <w:rPr>
          <w:rFonts w:ascii="Garamond" w:eastAsia="Calibri" w:hAnsi="Garamond" w:cs="Times New Roman"/>
          <w:color w:val="000000"/>
          <w:sz w:val="24"/>
          <w:szCs w:val="24"/>
        </w:rPr>
        <w:tab/>
      </w:r>
      <w:r w:rsidRPr="002B266E">
        <w:rPr>
          <w:rFonts w:ascii="Garamond" w:eastAsia="Calibri" w:hAnsi="Garamond" w:cs="Times New Roman"/>
          <w:color w:val="000000"/>
          <w:sz w:val="24"/>
          <w:szCs w:val="24"/>
        </w:rPr>
        <w:t>all'art. 11 del Dl..vo 358/92;</w:t>
      </w:r>
    </w:p>
    <w:p w:rsidR="00DB62BF" w:rsidRPr="00BB3834" w:rsidRDefault="00DB62BF" w:rsidP="00DB62BF">
      <w:pPr>
        <w:widowControl/>
        <w:numPr>
          <w:ilvl w:val="0"/>
          <w:numId w:val="1"/>
        </w:numPr>
        <w:autoSpaceDE/>
        <w:autoSpaceDN/>
        <w:spacing w:after="5" w:line="249" w:lineRule="auto"/>
        <w:ind w:left="324"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BB3834">
        <w:rPr>
          <w:rFonts w:ascii="Garamond" w:eastAsia="Calibri" w:hAnsi="Garamond" w:cs="Times New Roman"/>
          <w:color w:val="000000"/>
          <w:sz w:val="24"/>
          <w:szCs w:val="24"/>
        </w:rPr>
        <w:t xml:space="preserve">di </w:t>
      </w:r>
      <w:r>
        <w:rPr>
          <w:rFonts w:ascii="Garamond" w:eastAsia="Calibri" w:hAnsi="Garamond" w:cs="Times New Roman"/>
          <w:color w:val="000000"/>
          <w:sz w:val="24"/>
          <w:szCs w:val="24"/>
        </w:rPr>
        <w:t xml:space="preserve">possedere </w:t>
      </w:r>
      <w:r w:rsidRPr="00BB3834">
        <w:rPr>
          <w:rFonts w:ascii="Garamond" w:eastAsia="Calibri" w:hAnsi="Garamond" w:cs="Times New Roman"/>
          <w:color w:val="000000"/>
          <w:sz w:val="24"/>
          <w:szCs w:val="24"/>
        </w:rPr>
        <w:t xml:space="preserve">regolare iscrizione alla C.C.I.A.A. con indicazione dell'oggetto sociale e dei </w:t>
      </w:r>
      <w:r>
        <w:rPr>
          <w:rFonts w:ascii="Garamond" w:eastAsia="Calibri" w:hAnsi="Garamond" w:cs="Times New Roman"/>
          <w:color w:val="000000"/>
          <w:sz w:val="24"/>
          <w:szCs w:val="24"/>
        </w:rPr>
        <w:tab/>
      </w:r>
      <w:r w:rsidRPr="00BB3834">
        <w:rPr>
          <w:rFonts w:ascii="Garamond" w:eastAsia="Calibri" w:hAnsi="Garamond" w:cs="Times New Roman"/>
          <w:color w:val="000000"/>
          <w:sz w:val="24"/>
          <w:szCs w:val="24"/>
        </w:rPr>
        <w:t>soggetti con potere di rappresentanza;</w:t>
      </w:r>
    </w:p>
    <w:p w:rsidR="00DB62BF" w:rsidRPr="00BB3834" w:rsidRDefault="00DB62BF" w:rsidP="00DB62BF">
      <w:pPr>
        <w:widowControl/>
        <w:numPr>
          <w:ilvl w:val="0"/>
          <w:numId w:val="1"/>
        </w:numPr>
        <w:autoSpaceDE/>
        <w:autoSpaceDN/>
        <w:spacing w:after="5" w:line="249" w:lineRule="auto"/>
        <w:ind w:left="324"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BB3834">
        <w:rPr>
          <w:rFonts w:ascii="Garamond" w:eastAsia="Calibri" w:hAnsi="Garamond" w:cs="Times New Roman"/>
          <w:color w:val="000000"/>
          <w:sz w:val="24"/>
          <w:szCs w:val="24"/>
        </w:rPr>
        <w:t xml:space="preserve">di non trovarsi in nessuna delle cause di esclusione dalle gare d'appalto di cui all'art. 48 D.lgs. n. </w:t>
      </w:r>
      <w:r>
        <w:rPr>
          <w:rFonts w:ascii="Garamond" w:eastAsia="Calibri" w:hAnsi="Garamond" w:cs="Times New Roman"/>
          <w:color w:val="000000"/>
          <w:sz w:val="24"/>
          <w:szCs w:val="24"/>
        </w:rPr>
        <w:tab/>
      </w:r>
      <w:r w:rsidRPr="00BB3834">
        <w:rPr>
          <w:rFonts w:ascii="Garamond" w:eastAsia="Calibri" w:hAnsi="Garamond" w:cs="Times New Roman"/>
          <w:color w:val="000000"/>
          <w:sz w:val="24"/>
          <w:szCs w:val="24"/>
        </w:rPr>
        <w:t>50/2016, in particolare:</w:t>
      </w:r>
    </w:p>
    <w:p w:rsidR="00DB62BF" w:rsidRPr="00BB3834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>
        <w:rPr>
          <w:rFonts w:ascii="Garamond" w:eastAsia="Calibri" w:hAnsi="Garamond" w:cs="Times New Roman"/>
          <w:color w:val="000000"/>
          <w:sz w:val="24"/>
          <w:szCs w:val="24"/>
        </w:rPr>
        <w:t>d</w:t>
      </w:r>
      <w:r w:rsidRPr="00BB3834">
        <w:rPr>
          <w:rFonts w:ascii="Garamond" w:eastAsia="Calibri" w:hAnsi="Garamond" w:cs="Times New Roman"/>
          <w:color w:val="000000"/>
          <w:sz w:val="24"/>
          <w:szCs w:val="24"/>
        </w:rPr>
        <w:t xml:space="preserve">i non trovarsi in stato di fallimento, di liquidazione coatta, di concordato preventivo o nei cui riguardi sia in corso un procedimento per la dichiarazione di tali situazioni; </w:t>
      </w:r>
    </w:p>
    <w:p w:rsidR="00DB62BF" w:rsidRPr="00BB3834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BB3834">
        <w:rPr>
          <w:rFonts w:ascii="Garamond" w:eastAsia="Calibri" w:hAnsi="Garamond" w:cs="Times New Roman"/>
          <w:color w:val="000000"/>
          <w:sz w:val="24"/>
          <w:szCs w:val="24"/>
        </w:rPr>
        <w:t>di non avere nessun procedimento pendente per l’applicazione di una delle misure di prevenzione di cui all'art. 3 della Legge 27 dicembre 1956, n. 1423 o di una delle cause ostative previste dall'art. 10 della legge 31 maggio n. 575;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BB3834">
        <w:rPr>
          <w:rFonts w:ascii="Garamond" w:eastAsia="Calibri" w:hAnsi="Garamond" w:cs="Times New Roman"/>
          <w:color w:val="000000"/>
          <w:sz w:val="24"/>
          <w:szCs w:val="24"/>
        </w:rPr>
        <w:t>che non è stata pronunciata sentenza di condanna passata in giudicato o emesso decreto penale di condanna divenuto irrevocabile oppure sentenza di applicazione della pena su richiesta, ai sensi dell'art. 444 del</w:t>
      </w: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 </w:t>
      </w:r>
      <w:r w:rsidRPr="00380DC2">
        <w:rPr>
          <w:rFonts w:ascii="Garamond" w:eastAsia="Calibri" w:hAnsi="Garamond" w:cs="Times New Roman"/>
          <w:color w:val="000000"/>
          <w:sz w:val="24"/>
          <w:szCs w:val="24"/>
        </w:rPr>
        <w:t>Codice di Procedura Penale, per reati gravi in danno</w:t>
      </w: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 dello Stato o della Comunità che incidono sulla moralità professionale;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lastRenderedPageBreak/>
        <w:t xml:space="preserve">di non avere violato il divieto di intestazione fiduciaria posto all'art. 17 della legge 19 marzo 1990, n.55; 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>di non aver commesso gravi infrazioni debitamente accertate dalle norme in materia di sicurezza ed o ogni altro obbligo derivante dai rapporti di lavoro;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di non avere commesso grave negligenze o malafede nell'esecuzione delle prestazioni affidate dalla stazione appaltante che bandisce la gara e di avere commesso un errore grave nell'esercizio della loro attività professionale, accertato con qualsiasi mezzo di prova da parte della stazione appaltante; </w:t>
      </w:r>
      <w:r w:rsidRPr="00233325">
        <w:rPr>
          <w:rFonts w:ascii="Garamond" w:eastAsia="Calibri" w:hAnsi="Garamond" w:cs="Times New Roman"/>
          <w:noProof/>
          <w:color w:val="000000"/>
          <w:sz w:val="24"/>
          <w:szCs w:val="24"/>
          <w:lang w:bidi="ar-SA"/>
        </w:rPr>
        <w:drawing>
          <wp:inline distT="0" distB="0" distL="0" distR="0">
            <wp:extent cx="36576" cy="9143"/>
            <wp:effectExtent l="0" t="0" r="0" b="0"/>
            <wp:docPr id="11450" name="Picture 114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0" name="Picture 1145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 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di non avere commesso violazioni, definitivamente accertate, rispetto agli obblighi relativi al pagamento delle imposte e tasse, secondo la legislazione italiana o quella dello Stato in cui sono stabiliti e di essere in possesso del </w:t>
      </w:r>
      <w:proofErr w:type="spellStart"/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>D.U.R.C.</w:t>
      </w:r>
      <w:proofErr w:type="spellEnd"/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 in corso di validità che attesti la situazione di regolarità contributiva come da normativa vigente;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che non ha reso false dichiarazioni in merito ai requisiti ed alle condizioni rilevate per partecipazione alle procedure di gara; 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di non avere commesso violazioni gravi, definitivamente accertate, alle norme in materie di contributi </w:t>
      </w:r>
      <w:r w:rsidRPr="00233325">
        <w:rPr>
          <w:rFonts w:ascii="Garamond" w:eastAsia="Calibri" w:hAnsi="Garamond" w:cs="Times New Roman"/>
          <w:noProof/>
          <w:color w:val="000000"/>
          <w:sz w:val="24"/>
          <w:szCs w:val="24"/>
          <w:lang w:bidi="ar-SA"/>
        </w:rPr>
        <w:drawing>
          <wp:inline distT="0" distB="0" distL="0" distR="0">
            <wp:extent cx="18288" cy="32003"/>
            <wp:effectExtent l="0" t="0" r="0" b="0"/>
            <wp:docPr id="11861" name="Picture 118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1" name="Picture 11861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3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>previdenziali ed assistenziali, secondo la legislazione italiana o dello Stato in cui sono stabiliti;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>di non avere subito interdizione come previsto dall'articolo 9, comma 2, lettera c) del D.L. vo 8 giugno 2001 n. 231 altra sanzione che comporta divieto di contrarre con la Pubblica Amministrazione;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>che per la fornitura richiesta non ricorrerà al subappalto;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>che il firmatario dell’offerta e di tutti i documenti è dotato dei poteri necessari per impegnare legalmente la società;</w:t>
      </w:r>
    </w:p>
    <w:p w:rsidR="00DB62BF" w:rsidRPr="00233325" w:rsidRDefault="00DB62BF" w:rsidP="00DB62BF">
      <w:pPr>
        <w:widowControl/>
        <w:numPr>
          <w:ilvl w:val="0"/>
          <w:numId w:val="3"/>
        </w:numPr>
        <w:autoSpaceDE/>
        <w:autoSpaceDN/>
        <w:spacing w:after="5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>non avere rapporti di controllo o collegamento, a norma dell'art. 2359 c.c. oppure di situazion</w:t>
      </w:r>
      <w:r>
        <w:rPr>
          <w:rFonts w:ascii="Garamond" w:eastAsia="Calibri" w:hAnsi="Garamond" w:cs="Times New Roman"/>
          <w:color w:val="000000"/>
          <w:sz w:val="24"/>
          <w:szCs w:val="24"/>
        </w:rPr>
        <w:t>i</w:t>
      </w:r>
      <w:r w:rsidRPr="00233325">
        <w:rPr>
          <w:rFonts w:ascii="Garamond" w:eastAsia="Calibri" w:hAnsi="Garamond" w:cs="Times New Roman"/>
          <w:color w:val="000000"/>
          <w:sz w:val="24"/>
          <w:szCs w:val="24"/>
        </w:rPr>
        <w:t xml:space="preserve"> di identità tra gli amministratori con altre imprese partecipanti alla gara;</w:t>
      </w:r>
    </w:p>
    <w:p w:rsidR="00DB62BF" w:rsidRDefault="00DB62BF" w:rsidP="00DB62BF">
      <w:pPr>
        <w:spacing w:after="5" w:line="249" w:lineRule="auto"/>
        <w:ind w:left="89" w:right="79" w:hanging="3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2053EA">
        <w:rPr>
          <w:rFonts w:ascii="Garamond" w:eastAsia="Calibri" w:hAnsi="Garamond" w:cs="Times New Roman"/>
          <w:noProof/>
          <w:color w:val="000000"/>
          <w:sz w:val="24"/>
          <w:szCs w:val="24"/>
        </w:rPr>
        <w:t xml:space="preserve">Il </w:t>
      </w:r>
      <w:r w:rsidRPr="002053EA">
        <w:rPr>
          <w:rFonts w:ascii="Garamond" w:eastAsia="Calibri" w:hAnsi="Garamond" w:cs="Times New Roman"/>
          <w:color w:val="000000"/>
          <w:sz w:val="24"/>
          <w:szCs w:val="24"/>
        </w:rPr>
        <w:t>concorrente è informato che i dati raccolti saranno trattati, ai sensi del D.</w:t>
      </w:r>
      <w:r>
        <w:rPr>
          <w:rFonts w:ascii="Garamond" w:eastAsia="Calibri" w:hAnsi="Garamond" w:cs="Times New Roman"/>
          <w:color w:val="000000"/>
          <w:sz w:val="24"/>
          <w:szCs w:val="24"/>
        </w:rPr>
        <w:t>lgs.</w:t>
      </w:r>
      <w:r w:rsidRPr="002053EA">
        <w:rPr>
          <w:rFonts w:ascii="Garamond" w:eastAsia="Calibri" w:hAnsi="Garamond" w:cs="Times New Roman"/>
          <w:color w:val="000000"/>
          <w:sz w:val="24"/>
          <w:szCs w:val="24"/>
        </w:rPr>
        <w:t xml:space="preserve"> 196 del 30/06/2003, esclusivamente nell'ambito del procedimento per il quale la presente dichiarazione viene resa.</w:t>
      </w:r>
    </w:p>
    <w:p w:rsidR="00DB62BF" w:rsidRPr="002053EA" w:rsidRDefault="00DB62BF" w:rsidP="00DB62BF">
      <w:pPr>
        <w:spacing w:after="5" w:line="249" w:lineRule="auto"/>
        <w:ind w:left="89" w:right="79" w:hanging="3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</w:p>
    <w:p w:rsidR="00DB62BF" w:rsidRPr="00165F92" w:rsidRDefault="00DB62BF" w:rsidP="00DB62BF">
      <w:pPr>
        <w:spacing w:after="5" w:line="249" w:lineRule="auto"/>
        <w:ind w:left="89" w:right="79" w:hanging="3"/>
        <w:jc w:val="both"/>
        <w:rPr>
          <w:rFonts w:ascii="Garamond" w:eastAsia="Calibri" w:hAnsi="Garamond" w:cs="Times New Roman"/>
          <w:b/>
          <w:bCs/>
          <w:color w:val="000000"/>
          <w:sz w:val="24"/>
          <w:szCs w:val="24"/>
        </w:rPr>
      </w:pPr>
      <w:r w:rsidRPr="00165F92">
        <w:rPr>
          <w:rFonts w:ascii="Garamond" w:eastAsia="Calibri" w:hAnsi="Garamond" w:cs="Times New Roman"/>
          <w:b/>
          <w:bCs/>
          <w:color w:val="000000"/>
          <w:sz w:val="24"/>
          <w:szCs w:val="24"/>
        </w:rPr>
        <w:t>Allega</w:t>
      </w:r>
      <w:r>
        <w:rPr>
          <w:rFonts w:ascii="Garamond" w:eastAsia="Calibri" w:hAnsi="Garamond" w:cs="Times New Roman"/>
          <w:b/>
          <w:bCs/>
          <w:color w:val="000000"/>
          <w:sz w:val="24"/>
          <w:szCs w:val="24"/>
        </w:rPr>
        <w:t>:</w:t>
      </w:r>
    </w:p>
    <w:p w:rsidR="00DB62BF" w:rsidRPr="002053EA" w:rsidRDefault="00DB62BF" w:rsidP="00DB62BF">
      <w:pPr>
        <w:pStyle w:val="Paragrafoelenco"/>
        <w:widowControl/>
        <w:numPr>
          <w:ilvl w:val="0"/>
          <w:numId w:val="2"/>
        </w:numPr>
        <w:autoSpaceDE/>
        <w:autoSpaceDN/>
        <w:spacing w:after="5" w:line="249" w:lineRule="auto"/>
        <w:ind w:right="79"/>
        <w:contextualSpacing/>
        <w:rPr>
          <w:rFonts w:ascii="Garamond" w:eastAsia="Calibri" w:hAnsi="Garamond" w:cs="Times New Roman"/>
          <w:b/>
          <w:bCs/>
          <w:color w:val="000000"/>
          <w:sz w:val="24"/>
          <w:szCs w:val="24"/>
        </w:rPr>
      </w:pPr>
      <w:r w:rsidRPr="002053EA">
        <w:rPr>
          <w:rFonts w:ascii="Garamond" w:eastAsia="Calibri" w:hAnsi="Garamond" w:cs="Times New Roman"/>
          <w:b/>
          <w:bCs/>
          <w:color w:val="000000"/>
          <w:sz w:val="24"/>
          <w:szCs w:val="24"/>
        </w:rPr>
        <w:t>Visura camerale aggiornata</w:t>
      </w:r>
    </w:p>
    <w:p w:rsidR="00DB62BF" w:rsidRDefault="00DB62BF" w:rsidP="00DB62BF">
      <w:pPr>
        <w:pStyle w:val="Paragrafoelenco"/>
        <w:widowControl/>
        <w:numPr>
          <w:ilvl w:val="0"/>
          <w:numId w:val="2"/>
        </w:numPr>
        <w:autoSpaceDE/>
        <w:autoSpaceDN/>
        <w:spacing w:after="5" w:line="249" w:lineRule="auto"/>
        <w:ind w:right="79"/>
        <w:contextualSpacing/>
        <w:rPr>
          <w:rFonts w:ascii="Garamond" w:eastAsia="Calibri" w:hAnsi="Garamond" w:cs="Times New Roman"/>
          <w:b/>
          <w:bCs/>
          <w:color w:val="000000"/>
          <w:sz w:val="24"/>
          <w:szCs w:val="24"/>
        </w:rPr>
      </w:pPr>
      <w:r w:rsidRPr="002053EA">
        <w:rPr>
          <w:rFonts w:ascii="Garamond" w:eastAsia="Calibri" w:hAnsi="Garamond" w:cs="Times New Roman"/>
          <w:b/>
          <w:bCs/>
          <w:color w:val="000000"/>
          <w:sz w:val="24"/>
          <w:szCs w:val="24"/>
        </w:rPr>
        <w:t>Copia fotostatica di riconoscimento</w:t>
      </w:r>
    </w:p>
    <w:p w:rsidR="00DB62BF" w:rsidRPr="002053EA" w:rsidRDefault="00DB62BF" w:rsidP="00DB62BF">
      <w:pPr>
        <w:pStyle w:val="Paragrafoelenco"/>
        <w:widowControl/>
        <w:autoSpaceDE/>
        <w:autoSpaceDN/>
        <w:spacing w:after="5" w:line="249" w:lineRule="auto"/>
        <w:ind w:left="446" w:right="79" w:firstLine="0"/>
        <w:contextualSpacing/>
        <w:rPr>
          <w:rFonts w:ascii="Garamond" w:eastAsia="Calibri" w:hAnsi="Garamond" w:cs="Times New Roman"/>
          <w:b/>
          <w:bCs/>
          <w:color w:val="000000"/>
          <w:sz w:val="24"/>
          <w:szCs w:val="24"/>
        </w:rPr>
      </w:pPr>
    </w:p>
    <w:p w:rsidR="00DB62BF" w:rsidRPr="00A720B6" w:rsidRDefault="00DB62BF" w:rsidP="00DB62BF">
      <w:pPr>
        <w:spacing w:after="238" w:line="249" w:lineRule="auto"/>
        <w:ind w:right="79"/>
        <w:jc w:val="both"/>
        <w:rPr>
          <w:rFonts w:ascii="Garamond" w:eastAsia="Calibri" w:hAnsi="Garamond" w:cs="Times New Roman"/>
          <w:color w:val="000000"/>
          <w:sz w:val="24"/>
          <w:szCs w:val="24"/>
        </w:rPr>
      </w:pPr>
      <w:r w:rsidRPr="00A720B6">
        <w:rPr>
          <w:rFonts w:ascii="Garamond" w:eastAsia="Calibri" w:hAnsi="Garamond" w:cs="Times New Roman"/>
          <w:color w:val="000000"/>
          <w:sz w:val="24"/>
          <w:szCs w:val="24"/>
        </w:rPr>
        <w:t>Luogo e data</w:t>
      </w:r>
    </w:p>
    <w:p w:rsidR="00DB62BF" w:rsidRDefault="00DB62BF" w:rsidP="00DB62BF">
      <w:pPr>
        <w:rPr>
          <w:rFonts w:ascii="Garamond" w:hAnsi="Garamond"/>
        </w:rPr>
      </w:pPr>
      <w:r w:rsidRPr="002053EA">
        <w:rPr>
          <w:rFonts w:ascii="Garamond" w:hAnsi="Garamond"/>
        </w:rPr>
        <w:tab/>
      </w:r>
      <w:r w:rsidRPr="002053EA">
        <w:rPr>
          <w:rFonts w:ascii="Garamond" w:hAnsi="Garamond"/>
        </w:rPr>
        <w:tab/>
      </w:r>
      <w:r w:rsidRPr="002053EA">
        <w:rPr>
          <w:rFonts w:ascii="Garamond" w:hAnsi="Garamond"/>
        </w:rPr>
        <w:tab/>
      </w:r>
      <w:r w:rsidRPr="002053EA">
        <w:rPr>
          <w:rFonts w:ascii="Garamond" w:hAnsi="Garamond"/>
        </w:rPr>
        <w:tab/>
      </w:r>
      <w:r w:rsidRPr="002053EA">
        <w:rPr>
          <w:rFonts w:ascii="Garamond" w:hAnsi="Garamond"/>
        </w:rPr>
        <w:tab/>
      </w:r>
      <w:r w:rsidRPr="002053EA">
        <w:rPr>
          <w:rFonts w:ascii="Garamond" w:hAnsi="Garamond"/>
        </w:rPr>
        <w:tab/>
      </w:r>
      <w:r w:rsidRPr="002053EA">
        <w:rPr>
          <w:rFonts w:ascii="Garamond" w:hAnsi="Garamond"/>
        </w:rPr>
        <w:tab/>
      </w:r>
      <w:r w:rsidRPr="002053EA">
        <w:rPr>
          <w:rFonts w:ascii="Garamond" w:hAnsi="Garamond"/>
        </w:rPr>
        <w:tab/>
        <w:t>Timbro e firm</w:t>
      </w:r>
      <w:r>
        <w:rPr>
          <w:rFonts w:ascii="Garamond" w:hAnsi="Garamond"/>
        </w:rPr>
        <w:t>a</w:t>
      </w:r>
    </w:p>
    <w:p w:rsidR="00DB62BF" w:rsidRDefault="00DB62BF" w:rsidP="00DB62BF">
      <w:pPr>
        <w:rPr>
          <w:rFonts w:ascii="Garamond" w:hAnsi="Garamond"/>
        </w:rPr>
      </w:pPr>
    </w:p>
    <w:p w:rsidR="00DB62BF" w:rsidRPr="00D01EC3" w:rsidRDefault="00DB62BF" w:rsidP="00DB62BF">
      <w:pPr>
        <w:rPr>
          <w:rFonts w:ascii="Garamond" w:hAnsi="Garamond"/>
          <w:u w:val="single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  <w:r>
        <w:rPr>
          <w:rFonts w:ascii="Garamond" w:hAnsi="Garamond"/>
          <w:u w:val="single"/>
        </w:rPr>
        <w:tab/>
      </w:r>
    </w:p>
    <w:p w:rsidR="00DB62BF" w:rsidRPr="00D01EC3" w:rsidRDefault="00DB62BF" w:rsidP="00DB62BF">
      <w:pPr>
        <w:rPr>
          <w:rFonts w:ascii="Garamond" w:hAnsi="Garamond"/>
          <w:u w:val="single"/>
        </w:rPr>
      </w:pPr>
    </w:p>
    <w:p w:rsidR="00591587" w:rsidRDefault="00591587"/>
    <w:sectPr w:rsidR="00591587" w:rsidSect="00C01DCB">
      <w:headerReference w:type="default" r:id="rId11"/>
      <w:footerReference w:type="default" r:id="rId12"/>
      <w:pgSz w:w="11906" w:h="16838"/>
      <w:pgMar w:top="1417" w:right="1134" w:bottom="993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F3B" w:rsidRDefault="00BA4F3B" w:rsidP="00DB62BF">
      <w:r>
        <w:separator/>
      </w:r>
    </w:p>
  </w:endnote>
  <w:endnote w:type="continuationSeparator" w:id="0">
    <w:p w:rsidR="00BA4F3B" w:rsidRDefault="00BA4F3B" w:rsidP="00DB6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BF" w:rsidRDefault="00DB62BF" w:rsidP="00DB62BF">
    <w:pPr>
      <w:pStyle w:val="Pidipagina"/>
      <w:jc w:val="center"/>
    </w:pPr>
    <w:r>
      <w:pict>
        <v:rect id="_x0000_i1025" style="width:508.9pt;height:1pt" o:hralign="center" o:hrstd="t" o:hrnoshade="t" o:hr="t" fillcolor="#365f91 [2404]" stroked="f"/>
      </w:pict>
    </w:r>
  </w:p>
  <w:p w:rsidR="00DB62BF" w:rsidRDefault="00DB62BF" w:rsidP="00DB62BF">
    <w:pPr>
      <w:pStyle w:val="Pidipagina"/>
      <w:jc w:val="center"/>
    </w:pPr>
  </w:p>
  <w:p w:rsidR="00DB62BF" w:rsidRDefault="00DB62BF" w:rsidP="00DB62BF">
    <w:pPr>
      <w:pStyle w:val="Pidipagina"/>
      <w:jc w:val="center"/>
    </w:pPr>
    <w:r w:rsidRPr="00053471">
      <w:rPr>
        <w:noProof/>
        <w:lang w:bidi="ar-SA"/>
      </w:rPr>
      <w:drawing>
        <wp:inline distT="0" distB="0" distL="0" distR="0">
          <wp:extent cx="3708787" cy="758707"/>
          <wp:effectExtent l="19050" t="19050" r="25013" b="22343"/>
          <wp:docPr id="3" name="Immagine 1" descr="Cos'è 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s'è Erasm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145" cy="759803"/>
                  </a:xfrm>
                  <a:prstGeom prst="rect">
                    <a:avLst/>
                  </a:prstGeom>
                  <a:solidFill>
                    <a:srgbClr val="002060"/>
                  </a:solidFill>
                  <a:ln w="3175" cap="sq">
                    <a:solidFill>
                      <a:srgbClr val="538CFF"/>
                    </a:solidFill>
                    <a:miter lim="800000"/>
                  </a:ln>
                  <a:effectLst/>
                </pic:spPr>
              </pic:pic>
            </a:graphicData>
          </a:graphic>
        </wp:inline>
      </w:drawing>
    </w:r>
  </w:p>
  <w:p w:rsidR="00DB62BF" w:rsidRDefault="00DB62B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F3B" w:rsidRDefault="00BA4F3B" w:rsidP="00DB62BF">
      <w:r>
        <w:separator/>
      </w:r>
    </w:p>
  </w:footnote>
  <w:footnote w:type="continuationSeparator" w:id="0">
    <w:p w:rsidR="00BA4F3B" w:rsidRDefault="00BA4F3B" w:rsidP="00DB6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2BF" w:rsidRPr="002B266E" w:rsidRDefault="00DB62BF" w:rsidP="00DB62BF">
    <w:pPr>
      <w:widowControl/>
      <w:tabs>
        <w:tab w:val="left" w:pos="3300"/>
      </w:tabs>
      <w:autoSpaceDE/>
      <w:autoSpaceDN/>
      <w:spacing w:line="360" w:lineRule="atLeast"/>
      <w:jc w:val="center"/>
      <w:rPr>
        <w:rFonts w:ascii="Garamond" w:eastAsia="Calibri" w:hAnsi="Garamond" w:cs="Times New Roman"/>
        <w:b/>
        <w:bCs/>
        <w:color w:val="BFBFBF" w:themeColor="background1" w:themeShade="BF"/>
        <w:sz w:val="24"/>
        <w:szCs w:val="24"/>
      </w:rPr>
    </w:pPr>
    <w:r w:rsidRPr="002B266E">
      <w:rPr>
        <w:rFonts w:ascii="Garamond" w:eastAsia="Times New Roman" w:hAnsi="Garamond" w:cs="Times New Roman"/>
        <w:b/>
        <w:bCs/>
        <w:color w:val="BFBFBF" w:themeColor="background1" w:themeShade="BF"/>
        <w:sz w:val="24"/>
        <w:szCs w:val="23"/>
        <w:lang w:bidi="ar-SA"/>
      </w:rPr>
      <w:t>CARTA INTESTATA DELL’OPERATORE ECONOMICO</w:t>
    </w:r>
  </w:p>
  <w:p w:rsidR="00DB62BF" w:rsidRDefault="00DB62B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32AA5"/>
    <w:multiLevelType w:val="hybridMultilevel"/>
    <w:tmpl w:val="D102F4E0"/>
    <w:lvl w:ilvl="0" w:tplc="F6C22F14">
      <w:start w:val="1"/>
      <w:numFmt w:val="lowerLetter"/>
      <w:lvlText w:val="%1)"/>
      <w:lvlJc w:val="left"/>
      <w:pPr>
        <w:ind w:left="323"/>
      </w:pPr>
      <w:rPr>
        <w:rFonts w:ascii="Garamond" w:eastAsia="Calibri" w:hAnsi="Garamond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4034E">
      <w:start w:val="1"/>
      <w:numFmt w:val="lowerLetter"/>
      <w:lvlText w:val="%2"/>
      <w:lvlJc w:val="left"/>
      <w:pPr>
        <w:ind w:left="1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9824BA">
      <w:start w:val="1"/>
      <w:numFmt w:val="lowerRoman"/>
      <w:lvlText w:val="%3"/>
      <w:lvlJc w:val="left"/>
      <w:pPr>
        <w:ind w:left="1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687710">
      <w:start w:val="1"/>
      <w:numFmt w:val="decimal"/>
      <w:lvlText w:val="%4"/>
      <w:lvlJc w:val="left"/>
      <w:pPr>
        <w:ind w:left="2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3AB686">
      <w:start w:val="1"/>
      <w:numFmt w:val="lowerLetter"/>
      <w:lvlText w:val="%5"/>
      <w:lvlJc w:val="left"/>
      <w:pPr>
        <w:ind w:left="3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CCEB6">
      <w:start w:val="1"/>
      <w:numFmt w:val="lowerRoman"/>
      <w:lvlText w:val="%6"/>
      <w:lvlJc w:val="left"/>
      <w:pPr>
        <w:ind w:left="39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4AE34E">
      <w:start w:val="1"/>
      <w:numFmt w:val="decimal"/>
      <w:lvlText w:val="%7"/>
      <w:lvlJc w:val="left"/>
      <w:pPr>
        <w:ind w:left="4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324EE2">
      <w:start w:val="1"/>
      <w:numFmt w:val="lowerLetter"/>
      <w:lvlText w:val="%8"/>
      <w:lvlJc w:val="left"/>
      <w:pPr>
        <w:ind w:left="5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E4969A">
      <w:start w:val="1"/>
      <w:numFmt w:val="lowerRoman"/>
      <w:lvlText w:val="%9"/>
      <w:lvlJc w:val="left"/>
      <w:pPr>
        <w:ind w:left="6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C1C22FA"/>
    <w:multiLevelType w:val="hybridMultilevel"/>
    <w:tmpl w:val="B24E0DAE"/>
    <w:lvl w:ilvl="0" w:tplc="5EC8935C">
      <w:start w:val="1"/>
      <w:numFmt w:val="decimal"/>
      <w:lvlText w:val="%1)"/>
      <w:lvlJc w:val="left"/>
      <w:pPr>
        <w:ind w:left="4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6" w:hanging="360"/>
      </w:pPr>
    </w:lvl>
    <w:lvl w:ilvl="2" w:tplc="0410001B" w:tentative="1">
      <w:start w:val="1"/>
      <w:numFmt w:val="lowerRoman"/>
      <w:lvlText w:val="%3."/>
      <w:lvlJc w:val="right"/>
      <w:pPr>
        <w:ind w:left="1886" w:hanging="180"/>
      </w:pPr>
    </w:lvl>
    <w:lvl w:ilvl="3" w:tplc="0410000F" w:tentative="1">
      <w:start w:val="1"/>
      <w:numFmt w:val="decimal"/>
      <w:lvlText w:val="%4."/>
      <w:lvlJc w:val="left"/>
      <w:pPr>
        <w:ind w:left="2606" w:hanging="360"/>
      </w:pPr>
    </w:lvl>
    <w:lvl w:ilvl="4" w:tplc="04100019" w:tentative="1">
      <w:start w:val="1"/>
      <w:numFmt w:val="lowerLetter"/>
      <w:lvlText w:val="%5."/>
      <w:lvlJc w:val="left"/>
      <w:pPr>
        <w:ind w:left="3326" w:hanging="360"/>
      </w:pPr>
    </w:lvl>
    <w:lvl w:ilvl="5" w:tplc="0410001B" w:tentative="1">
      <w:start w:val="1"/>
      <w:numFmt w:val="lowerRoman"/>
      <w:lvlText w:val="%6."/>
      <w:lvlJc w:val="right"/>
      <w:pPr>
        <w:ind w:left="4046" w:hanging="180"/>
      </w:pPr>
    </w:lvl>
    <w:lvl w:ilvl="6" w:tplc="0410000F" w:tentative="1">
      <w:start w:val="1"/>
      <w:numFmt w:val="decimal"/>
      <w:lvlText w:val="%7."/>
      <w:lvlJc w:val="left"/>
      <w:pPr>
        <w:ind w:left="4766" w:hanging="360"/>
      </w:pPr>
    </w:lvl>
    <w:lvl w:ilvl="7" w:tplc="04100019" w:tentative="1">
      <w:start w:val="1"/>
      <w:numFmt w:val="lowerLetter"/>
      <w:lvlText w:val="%8."/>
      <w:lvlJc w:val="left"/>
      <w:pPr>
        <w:ind w:left="5486" w:hanging="360"/>
      </w:pPr>
    </w:lvl>
    <w:lvl w:ilvl="8" w:tplc="0410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7B9D15DF"/>
    <w:multiLevelType w:val="hybridMultilevel"/>
    <w:tmpl w:val="97D8DB36"/>
    <w:lvl w:ilvl="0" w:tplc="653415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2BF"/>
    <w:rsid w:val="000D521C"/>
    <w:rsid w:val="00143824"/>
    <w:rsid w:val="00163D3A"/>
    <w:rsid w:val="00167AAD"/>
    <w:rsid w:val="002852E1"/>
    <w:rsid w:val="002C7DC9"/>
    <w:rsid w:val="00397FF4"/>
    <w:rsid w:val="00437FAD"/>
    <w:rsid w:val="00475A09"/>
    <w:rsid w:val="00484DE1"/>
    <w:rsid w:val="005018E3"/>
    <w:rsid w:val="005609BC"/>
    <w:rsid w:val="00572E38"/>
    <w:rsid w:val="00587FB0"/>
    <w:rsid w:val="0059019C"/>
    <w:rsid w:val="00591587"/>
    <w:rsid w:val="005A1AB6"/>
    <w:rsid w:val="00626E78"/>
    <w:rsid w:val="00645647"/>
    <w:rsid w:val="00651044"/>
    <w:rsid w:val="00675DF8"/>
    <w:rsid w:val="00837385"/>
    <w:rsid w:val="008871AE"/>
    <w:rsid w:val="00893496"/>
    <w:rsid w:val="008A45DF"/>
    <w:rsid w:val="008A7785"/>
    <w:rsid w:val="00907797"/>
    <w:rsid w:val="009B3D5A"/>
    <w:rsid w:val="00A15435"/>
    <w:rsid w:val="00AB3276"/>
    <w:rsid w:val="00B565CA"/>
    <w:rsid w:val="00B570D2"/>
    <w:rsid w:val="00BA4E34"/>
    <w:rsid w:val="00BA4F3B"/>
    <w:rsid w:val="00BF1D6B"/>
    <w:rsid w:val="00C37AC4"/>
    <w:rsid w:val="00C653E6"/>
    <w:rsid w:val="00D61789"/>
    <w:rsid w:val="00D85C70"/>
    <w:rsid w:val="00DB62BF"/>
    <w:rsid w:val="00E22CC0"/>
    <w:rsid w:val="00E3760D"/>
    <w:rsid w:val="00E77A24"/>
    <w:rsid w:val="00FC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B62BF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DB62BF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B62BF"/>
    <w:rPr>
      <w:rFonts w:ascii="Arial" w:eastAsia="Arial" w:hAnsi="Arial" w:cs="Arial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34"/>
    <w:qFormat/>
    <w:rsid w:val="00DB62BF"/>
    <w:pPr>
      <w:ind w:left="833" w:hanging="360"/>
      <w:jc w:val="both"/>
    </w:pPr>
    <w:rPr>
      <w:rFonts w:ascii="Book Antiqua" w:eastAsia="Book Antiqua" w:hAnsi="Book Antiqua" w:cs="Book Antiqu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62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62BF"/>
    <w:rPr>
      <w:rFonts w:ascii="Tahoma" w:eastAsia="Arial" w:hAnsi="Tahoma" w:cs="Tahoma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B62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B62BF"/>
    <w:rPr>
      <w:rFonts w:ascii="Arial" w:eastAsia="Arial" w:hAnsi="Arial" w:cs="Arial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B62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62BF"/>
    <w:rPr>
      <w:rFonts w:ascii="Arial" w:eastAsia="Arial" w:hAnsi="Arial" w:cs="Arial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3654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3</cp:revision>
  <dcterms:created xsi:type="dcterms:W3CDTF">2022-06-01T10:27:00Z</dcterms:created>
  <dcterms:modified xsi:type="dcterms:W3CDTF">2022-06-01T10:31:00Z</dcterms:modified>
</cp:coreProperties>
</file>